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7B1AD" w14:textId="40E740F0" w:rsidR="003775E1" w:rsidRDefault="003775E1" w:rsidP="003775E1">
      <w:pPr>
        <w:pStyle w:val="Header"/>
        <w:tabs>
          <w:tab w:val="right" w:pos="8280"/>
          <w:tab w:val="right" w:pos="9781"/>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84bis</w:t>
      </w:r>
      <w:r>
        <w:rPr>
          <w:rFonts w:ascii="Arial" w:eastAsia="MS Mincho" w:hAnsi="Arial" w:cs="Arial"/>
          <w:b/>
          <w:bCs/>
          <w:sz w:val="28"/>
          <w:lang w:eastAsia="ja-JP"/>
        </w:rPr>
        <w:tab/>
        <w:t>R1-16</w:t>
      </w:r>
      <w:r w:rsidR="0062785F">
        <w:rPr>
          <w:rFonts w:ascii="Arial" w:eastAsia="MS Mincho" w:hAnsi="Arial" w:cs="Arial"/>
          <w:b/>
          <w:bCs/>
          <w:sz w:val="28"/>
          <w:lang w:eastAsia="ja-JP"/>
        </w:rPr>
        <w:t>3055</w:t>
      </w:r>
    </w:p>
    <w:p w14:paraId="35181DA7" w14:textId="77777777" w:rsidR="003775E1" w:rsidRDefault="003775E1" w:rsidP="003775E1">
      <w:pPr>
        <w:pStyle w:val="Header"/>
        <w:spacing w:before="120"/>
        <w:rPr>
          <w:rFonts w:ascii="Arial" w:eastAsia="MS Mincho" w:hAnsi="Arial" w:cs="Arial"/>
          <w:b/>
          <w:bCs/>
          <w:sz w:val="28"/>
          <w:lang w:eastAsia="ja-JP"/>
        </w:rPr>
      </w:pPr>
      <w:r>
        <w:rPr>
          <w:rFonts w:ascii="Arial" w:eastAsia="MS Mincho" w:hAnsi="Arial" w:cs="Arial"/>
          <w:b/>
          <w:bCs/>
          <w:sz w:val="28"/>
          <w:lang w:eastAsia="ja-JP"/>
        </w:rPr>
        <w:t>Busan, Korea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82A5550"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775E1">
        <w:rPr>
          <w:rFonts w:ascii="Arial" w:hAnsi="Arial" w:cs="Arial"/>
          <w:snapToGrid w:val="0"/>
          <w:sz w:val="24"/>
        </w:rPr>
        <w:t>7.3.</w:t>
      </w:r>
      <w:r w:rsidR="00C412BA">
        <w:rPr>
          <w:rFonts w:ascii="Arial" w:hAnsi="Arial" w:cs="Arial"/>
          <w:snapToGrid w:val="0"/>
          <w:sz w:val="24"/>
        </w:rPr>
        <w:t>6</w:t>
      </w:r>
      <w:r w:rsidR="00E5067A">
        <w:rPr>
          <w:rFonts w:ascii="Arial" w:hAnsi="Arial" w:cs="Arial"/>
          <w:snapToGrid w:val="0"/>
          <w:sz w:val="24"/>
        </w:rPr>
        <w:t>.2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7FADA214"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E5067A">
        <w:rPr>
          <w:rFonts w:ascii="Arial" w:hAnsi="Arial" w:cs="Arial"/>
          <w:snapToGrid w:val="0"/>
          <w:sz w:val="24"/>
        </w:rPr>
        <w:t xml:space="preserve">Specification impact of </w:t>
      </w:r>
      <w:r w:rsidR="00C42250">
        <w:rPr>
          <w:rFonts w:ascii="Arial" w:hAnsi="Arial" w:cs="Arial"/>
          <w:snapToGrid w:val="0"/>
          <w:sz w:val="24"/>
        </w:rPr>
        <w:t xml:space="preserve">supporting </w:t>
      </w:r>
      <w:bookmarkStart w:id="2" w:name="_GoBack"/>
      <w:bookmarkEnd w:id="2"/>
      <w:r w:rsidR="00E5067A">
        <w:rPr>
          <w:rFonts w:ascii="Arial" w:hAnsi="Arial" w:cs="Arial"/>
          <w:snapToGrid w:val="0"/>
          <w:sz w:val="24"/>
        </w:rPr>
        <w:t>SRS switching</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0BC13486"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 In this contribution we present our views on the </w:t>
      </w:r>
      <w:r w:rsidR="0096544B">
        <w:rPr>
          <w:rFonts w:ascii="Times New Roman"/>
          <w:snapToGrid w:val="0"/>
          <w:kern w:val="0"/>
          <w:sz w:val="22"/>
          <w:szCs w:val="22"/>
          <w:lang w:val="en-GB"/>
        </w:rPr>
        <w:t>specification impact of SRS switching</w:t>
      </w:r>
      <w:r w:rsidR="00C412BA">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7F961B94" w:rsidR="00547160" w:rsidRDefault="009654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General signaling structure</w:t>
      </w:r>
    </w:p>
    <w:p w14:paraId="6B7B636E" w14:textId="3D8426B8" w:rsidR="0096544B" w:rsidRDefault="0096544B" w:rsidP="0096544B">
      <w:pPr>
        <w:pStyle w:val="LGTdoc1"/>
        <w:spacing w:beforeLines="0" w:before="120" w:after="220" w:afterAutospacing="0"/>
        <w:rPr>
          <w:rFonts w:ascii="Arial" w:hAnsi="Arial" w:cs="Arial"/>
          <w:lang w:val="en-US"/>
        </w:rPr>
      </w:pPr>
      <w:r>
        <w:rPr>
          <w:b w:val="0"/>
          <w:sz w:val="22"/>
          <w:szCs w:val="22"/>
        </w:rPr>
        <w:t xml:space="preserve">The configuration of SRS in carriers with only downlink reception should follow the general principles of carrier aggregation. </w:t>
      </w:r>
      <w:r w:rsidR="00C678E8">
        <w:rPr>
          <w:b w:val="0"/>
          <w:sz w:val="22"/>
          <w:szCs w:val="22"/>
        </w:rPr>
        <w:t xml:space="preserve">For example, activation/deactivation of SRS in a CC with no PUSCH transmission should be performed following the CA signalling structure. Power control, </w:t>
      </w:r>
      <w:r w:rsidR="00012D12">
        <w:rPr>
          <w:b w:val="0"/>
          <w:sz w:val="22"/>
          <w:szCs w:val="22"/>
        </w:rPr>
        <w:t>timing advance group (</w:t>
      </w:r>
      <w:r w:rsidR="00C678E8">
        <w:rPr>
          <w:b w:val="0"/>
          <w:sz w:val="22"/>
          <w:szCs w:val="22"/>
        </w:rPr>
        <w:t>TAG</w:t>
      </w:r>
      <w:r w:rsidR="00012D12">
        <w:rPr>
          <w:b w:val="0"/>
          <w:sz w:val="22"/>
          <w:szCs w:val="22"/>
        </w:rPr>
        <w:t>)</w:t>
      </w:r>
      <w:r w:rsidR="00C678E8">
        <w:rPr>
          <w:b w:val="0"/>
          <w:sz w:val="22"/>
          <w:szCs w:val="22"/>
        </w:rPr>
        <w:t xml:space="preserve"> configuration and </w:t>
      </w:r>
      <w:r w:rsidR="00012D12">
        <w:rPr>
          <w:b w:val="0"/>
          <w:sz w:val="22"/>
          <w:szCs w:val="22"/>
        </w:rPr>
        <w:t>timing advance (</w:t>
      </w:r>
      <w:r w:rsidR="00C678E8">
        <w:rPr>
          <w:b w:val="0"/>
          <w:sz w:val="22"/>
          <w:szCs w:val="22"/>
        </w:rPr>
        <w:t>TA</w:t>
      </w:r>
      <w:r w:rsidR="00012D12">
        <w:rPr>
          <w:b w:val="0"/>
          <w:sz w:val="22"/>
          <w:szCs w:val="22"/>
        </w:rPr>
        <w:t>)</w:t>
      </w:r>
      <w:r w:rsidR="00C678E8">
        <w:rPr>
          <w:b w:val="0"/>
          <w:sz w:val="22"/>
          <w:szCs w:val="22"/>
        </w:rPr>
        <w:t xml:space="preserve"> commands should also be supported for SRS CC.</w:t>
      </w:r>
    </w:p>
    <w:p w14:paraId="34CF5083" w14:textId="4843454D" w:rsidR="0096544B" w:rsidRPr="00860D5C" w:rsidRDefault="0096544B" w:rsidP="0096544B">
      <w:pPr>
        <w:pStyle w:val="LGTdoc1"/>
        <w:spacing w:beforeLines="0" w:before="120" w:after="220" w:afterAutospacing="0"/>
        <w:rPr>
          <w:sz w:val="22"/>
          <w:szCs w:val="22"/>
        </w:rPr>
      </w:pPr>
      <w:r w:rsidRPr="00860D5C">
        <w:rPr>
          <w:sz w:val="22"/>
          <w:szCs w:val="22"/>
          <w:u w:val="single"/>
        </w:rPr>
        <w:t>Proposal 1:</w:t>
      </w:r>
      <w:r w:rsidR="007B69E9" w:rsidRPr="00860D5C">
        <w:rPr>
          <w:sz w:val="22"/>
          <w:szCs w:val="22"/>
        </w:rPr>
        <w:t xml:space="preserve"> Follow</w:t>
      </w:r>
      <w:r w:rsidRPr="00860D5C">
        <w:rPr>
          <w:sz w:val="22"/>
          <w:szCs w:val="22"/>
        </w:rPr>
        <w:t xml:space="preserve"> sim</w:t>
      </w:r>
      <w:r w:rsidR="00C678E8" w:rsidRPr="00860D5C">
        <w:rPr>
          <w:sz w:val="22"/>
          <w:szCs w:val="22"/>
        </w:rPr>
        <w:t>ilar principles as CA operation:</w:t>
      </w:r>
      <w:r w:rsidRPr="00860D5C">
        <w:rPr>
          <w:sz w:val="22"/>
          <w:szCs w:val="22"/>
        </w:rPr>
        <w:t xml:space="preserve"> support power control, TAG configuration, TA, activation/deactivation.</w:t>
      </w:r>
    </w:p>
    <w:p w14:paraId="5F506660" w14:textId="7C8C7B8B" w:rsidR="00C678E8" w:rsidRDefault="00C678E8" w:rsidP="0096544B">
      <w:pPr>
        <w:pStyle w:val="LGTdoc1"/>
        <w:spacing w:beforeLines="0" w:before="120" w:after="220" w:afterAutospacing="0"/>
        <w:rPr>
          <w:b w:val="0"/>
          <w:sz w:val="22"/>
          <w:szCs w:val="22"/>
        </w:rPr>
      </w:pPr>
      <w:r>
        <w:rPr>
          <w:b w:val="0"/>
          <w:sz w:val="22"/>
          <w:szCs w:val="22"/>
        </w:rPr>
        <w:t>Before the initial SRS transmission in a DL only carrier, the UE needs to receive</w:t>
      </w:r>
      <w:r w:rsidR="00012D12">
        <w:rPr>
          <w:b w:val="0"/>
          <w:sz w:val="22"/>
          <w:szCs w:val="22"/>
        </w:rPr>
        <w:t xml:space="preserve"> initial commands to set the </w:t>
      </w:r>
      <w:r w:rsidR="00533662">
        <w:rPr>
          <w:b w:val="0"/>
          <w:sz w:val="22"/>
          <w:szCs w:val="22"/>
        </w:rPr>
        <w:t xml:space="preserve">TA and transmit power to the correct values. If these values are not properly set, the SRS transmission may result in interference to another UEs due to timing errors and power offsets. To enable these initial adjustments, the </w:t>
      </w:r>
      <w:proofErr w:type="spellStart"/>
      <w:r w:rsidR="00533662">
        <w:rPr>
          <w:b w:val="0"/>
          <w:sz w:val="22"/>
          <w:szCs w:val="22"/>
        </w:rPr>
        <w:t>eNB</w:t>
      </w:r>
      <w:proofErr w:type="spellEnd"/>
      <w:r w:rsidR="00533662">
        <w:rPr>
          <w:b w:val="0"/>
          <w:sz w:val="22"/>
          <w:szCs w:val="22"/>
        </w:rPr>
        <w:t xml:space="preserve"> has to obtain the timing and received power in the corresponding CC via PRACH. As the SRS configuration is performed after a UE is in connected mode, the PRACH transmission can be performed in a non-contention manner. The PRACH transmission in the CC has to follow similar constraints as the SRS transmission pointed in [2], i.e., the PRACH transmission has to be TDM with transmission in other CC following the CA capabilities of the UE. For example, if a UE supports only one uplink CC, the transmission of PRACH in a given set of </w:t>
      </w:r>
      <w:proofErr w:type="spellStart"/>
      <w:r w:rsidR="00533662">
        <w:rPr>
          <w:b w:val="0"/>
          <w:sz w:val="22"/>
          <w:szCs w:val="22"/>
        </w:rPr>
        <w:t>subframes</w:t>
      </w:r>
      <w:proofErr w:type="spellEnd"/>
      <w:r w:rsidR="00533662">
        <w:rPr>
          <w:b w:val="0"/>
          <w:sz w:val="22"/>
          <w:szCs w:val="22"/>
        </w:rPr>
        <w:t xml:space="preserve"> cannot overlap with PUSCH/PUCCH/SRS transmission in any other carrier. Some additional constraints may be introduced due to the necessary time to switch between CC.</w:t>
      </w:r>
    </w:p>
    <w:p w14:paraId="12B42705" w14:textId="5FDBCCF1" w:rsidR="0096544B" w:rsidRPr="00860D5C" w:rsidRDefault="0096544B" w:rsidP="00533662">
      <w:pPr>
        <w:pStyle w:val="LGTdoc1"/>
        <w:spacing w:beforeLines="0" w:before="120" w:after="220" w:afterAutospacing="0"/>
        <w:rPr>
          <w:sz w:val="22"/>
          <w:szCs w:val="22"/>
        </w:rPr>
      </w:pPr>
      <w:r w:rsidRPr="00860D5C">
        <w:rPr>
          <w:sz w:val="22"/>
          <w:szCs w:val="22"/>
          <w:u w:val="single"/>
        </w:rPr>
        <w:t>Proposal 2:</w:t>
      </w:r>
      <w:r w:rsidRPr="00860D5C">
        <w:rPr>
          <w:sz w:val="22"/>
          <w:szCs w:val="22"/>
        </w:rPr>
        <w:t xml:space="preserve"> </w:t>
      </w:r>
      <w:r w:rsidR="00241E9E" w:rsidRPr="00860D5C">
        <w:rPr>
          <w:sz w:val="22"/>
          <w:szCs w:val="22"/>
        </w:rPr>
        <w:t>Support</w:t>
      </w:r>
      <w:r w:rsidRPr="00860D5C">
        <w:rPr>
          <w:sz w:val="22"/>
          <w:szCs w:val="22"/>
        </w:rPr>
        <w:t xml:space="preserve"> non-contention based PRACH </w:t>
      </w:r>
      <w:r w:rsidR="00241E9E" w:rsidRPr="00860D5C">
        <w:rPr>
          <w:sz w:val="22"/>
          <w:szCs w:val="22"/>
        </w:rPr>
        <w:t>for a</w:t>
      </w:r>
      <w:r w:rsidR="0062785F">
        <w:rPr>
          <w:sz w:val="22"/>
          <w:szCs w:val="22"/>
        </w:rPr>
        <w:t>n</w:t>
      </w:r>
      <w:r w:rsidR="00241E9E" w:rsidRPr="00860D5C">
        <w:rPr>
          <w:sz w:val="22"/>
          <w:szCs w:val="22"/>
        </w:rPr>
        <w:t xml:space="preserve"> SRS CC</w:t>
      </w:r>
      <w:r w:rsidRPr="00860D5C">
        <w:rPr>
          <w:sz w:val="22"/>
          <w:szCs w:val="22"/>
        </w:rPr>
        <w:t>.</w:t>
      </w:r>
    </w:p>
    <w:p w14:paraId="36052CD8" w14:textId="1409264B" w:rsidR="0096544B" w:rsidRDefault="009654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SRS configuration</w:t>
      </w:r>
      <w:r w:rsidR="00533662">
        <w:rPr>
          <w:rFonts w:ascii="Arial" w:hAnsi="Arial" w:cs="Arial"/>
          <w:lang w:val="en-US"/>
        </w:rPr>
        <w:t xml:space="preserve"> and triggering</w:t>
      </w:r>
    </w:p>
    <w:p w14:paraId="77136CC3" w14:textId="77777777" w:rsidR="00533662" w:rsidRDefault="00533662" w:rsidP="00533662">
      <w:pPr>
        <w:pStyle w:val="LGTdoc1"/>
        <w:spacing w:beforeLines="0" w:before="120" w:after="220" w:afterAutospacing="0"/>
        <w:rPr>
          <w:b w:val="0"/>
          <w:sz w:val="22"/>
          <w:szCs w:val="22"/>
        </w:rPr>
      </w:pPr>
      <w:r>
        <w:rPr>
          <w:b w:val="0"/>
          <w:sz w:val="22"/>
          <w:szCs w:val="22"/>
        </w:rPr>
        <w:t xml:space="preserve">Both aperiodic and periodic SRS transmission are supported in current LTE. These mechanisms should be extended to SRS carrier based switching. Periodic SRS can be easily supported by issuing the corresponding RRC command for the target CC. Aperiodic SRS may require some additional changes to support triggering of SRS on non-paired CC. For example, a UE is not expected to receive uplink grants for the target CC, so SRS cannot be triggered by DCI 0/4. </w:t>
      </w:r>
    </w:p>
    <w:p w14:paraId="308C6305" w14:textId="0DA0031E" w:rsidR="00533662" w:rsidRDefault="00241E9E" w:rsidP="00533662">
      <w:pPr>
        <w:pStyle w:val="LGTdoc1"/>
        <w:spacing w:beforeLines="0" w:before="120" w:after="220" w:afterAutospacing="0"/>
        <w:rPr>
          <w:rFonts w:ascii="Arial" w:hAnsi="Arial" w:cs="Arial"/>
          <w:lang w:val="en-US"/>
        </w:rPr>
      </w:pPr>
      <w:r>
        <w:rPr>
          <w:b w:val="0"/>
          <w:sz w:val="22"/>
          <w:szCs w:val="22"/>
        </w:rPr>
        <w:t>Instead</w:t>
      </w:r>
      <w:r w:rsidR="00533662">
        <w:rPr>
          <w:b w:val="0"/>
          <w:sz w:val="22"/>
          <w:szCs w:val="22"/>
        </w:rPr>
        <w:t>, SRS should be triggered by downlink grants for non-paired CC. This requires minimum specification change, as the UE is already monitoring downlink grants for this CC</w:t>
      </w:r>
      <w:r>
        <w:rPr>
          <w:b w:val="0"/>
          <w:sz w:val="22"/>
          <w:szCs w:val="22"/>
        </w:rPr>
        <w:t xml:space="preserve"> and SRS triggering is already supported in some of the existing DCI formats, i.e., DCI formats </w:t>
      </w:r>
      <w:r w:rsidR="00533662" w:rsidRPr="00533662">
        <w:rPr>
          <w:b w:val="0"/>
          <w:sz w:val="22"/>
          <w:szCs w:val="22"/>
          <w:lang w:val="en-US"/>
        </w:rPr>
        <w:t xml:space="preserve">1A, 2B, 2C, </w:t>
      </w:r>
      <w:r>
        <w:rPr>
          <w:b w:val="0"/>
          <w:sz w:val="22"/>
          <w:szCs w:val="22"/>
          <w:lang w:val="en-US"/>
        </w:rPr>
        <w:t xml:space="preserve">and </w:t>
      </w:r>
      <w:r w:rsidR="00533662" w:rsidRPr="00533662">
        <w:rPr>
          <w:b w:val="0"/>
          <w:sz w:val="22"/>
          <w:szCs w:val="22"/>
          <w:lang w:val="en-US"/>
        </w:rPr>
        <w:t>2D</w:t>
      </w:r>
      <w:r w:rsidR="00533662">
        <w:rPr>
          <w:b w:val="0"/>
          <w:sz w:val="22"/>
          <w:szCs w:val="22"/>
          <w:lang w:val="en-US"/>
        </w:rPr>
        <w:t>. For Rel-14, and for the purpose of SRS triggering in non-paired CC, we propose to add the SRS trigger field to all downlink grant formats. These grants can be sent in the same CC (self-carrier scheduled) or in a different CC (cross-carrier scheduled).</w:t>
      </w:r>
    </w:p>
    <w:p w14:paraId="53F316A9" w14:textId="5E4B0C5D" w:rsidR="0096544B" w:rsidRPr="00860D5C" w:rsidRDefault="0096544B" w:rsidP="0096544B">
      <w:pPr>
        <w:pStyle w:val="LGTdoc1"/>
        <w:spacing w:beforeLines="0" w:before="120" w:after="220" w:afterAutospacing="0"/>
        <w:rPr>
          <w:sz w:val="22"/>
          <w:szCs w:val="22"/>
        </w:rPr>
      </w:pPr>
      <w:r w:rsidRPr="00860D5C">
        <w:rPr>
          <w:sz w:val="22"/>
          <w:szCs w:val="22"/>
          <w:u w:val="single"/>
        </w:rPr>
        <w:lastRenderedPageBreak/>
        <w:t>Proposal 3:</w:t>
      </w:r>
      <w:r w:rsidRPr="00860D5C">
        <w:rPr>
          <w:sz w:val="22"/>
          <w:szCs w:val="22"/>
        </w:rPr>
        <w:t xml:space="preserve"> Support</w:t>
      </w:r>
      <w:r w:rsidR="007B69E9" w:rsidRPr="00860D5C">
        <w:rPr>
          <w:sz w:val="22"/>
          <w:szCs w:val="22"/>
        </w:rPr>
        <w:t xml:space="preserve"> both periodic and aperiodic SRS</w:t>
      </w:r>
      <w:r w:rsidRPr="00860D5C">
        <w:rPr>
          <w:sz w:val="22"/>
          <w:szCs w:val="22"/>
        </w:rPr>
        <w:t>.</w:t>
      </w:r>
    </w:p>
    <w:p w14:paraId="01C6CFF4" w14:textId="3960A219" w:rsidR="00533662" w:rsidRPr="00860D5C" w:rsidRDefault="00533662" w:rsidP="00533662">
      <w:pPr>
        <w:pStyle w:val="LGTdoc1"/>
        <w:spacing w:beforeLines="0" w:before="120" w:after="220" w:afterAutospacing="0"/>
        <w:rPr>
          <w:sz w:val="22"/>
          <w:szCs w:val="22"/>
        </w:rPr>
      </w:pPr>
      <w:r w:rsidRPr="00860D5C">
        <w:rPr>
          <w:sz w:val="22"/>
          <w:szCs w:val="22"/>
          <w:u w:val="single"/>
        </w:rPr>
        <w:t>Proposal 4:</w:t>
      </w:r>
      <w:r w:rsidRPr="00860D5C">
        <w:rPr>
          <w:sz w:val="22"/>
          <w:szCs w:val="22"/>
        </w:rPr>
        <w:t xml:space="preserve"> Aperiodic SRS is triggered by a downlink grant for all downlink transmission modes.</w:t>
      </w:r>
    </w:p>
    <w:p w14:paraId="0CCB8346" w14:textId="40CE4589" w:rsidR="0096544B" w:rsidRPr="00860D5C" w:rsidRDefault="0096544B" w:rsidP="0096544B">
      <w:pPr>
        <w:pStyle w:val="LGTdoc1"/>
        <w:spacing w:beforeLines="0" w:before="120" w:after="220" w:afterAutospacing="0"/>
        <w:rPr>
          <w:sz w:val="22"/>
          <w:szCs w:val="22"/>
        </w:rPr>
      </w:pPr>
      <w:r w:rsidRPr="00860D5C">
        <w:rPr>
          <w:sz w:val="22"/>
          <w:szCs w:val="22"/>
          <w:u w:val="single"/>
        </w:rPr>
        <w:t xml:space="preserve">Proposal </w:t>
      </w:r>
      <w:r w:rsidR="00533662" w:rsidRPr="00860D5C">
        <w:rPr>
          <w:sz w:val="22"/>
          <w:szCs w:val="22"/>
          <w:u w:val="single"/>
        </w:rPr>
        <w:t>5</w:t>
      </w:r>
      <w:r w:rsidRPr="00860D5C">
        <w:rPr>
          <w:sz w:val="22"/>
          <w:szCs w:val="22"/>
          <w:u w:val="single"/>
        </w:rPr>
        <w:t>:</w:t>
      </w:r>
      <w:r w:rsidRPr="00860D5C">
        <w:rPr>
          <w:sz w:val="22"/>
          <w:szCs w:val="22"/>
        </w:rPr>
        <w:t xml:space="preserve"> </w:t>
      </w:r>
      <w:r w:rsidR="00533662" w:rsidRPr="00860D5C">
        <w:rPr>
          <w:sz w:val="22"/>
          <w:szCs w:val="22"/>
        </w:rPr>
        <w:t>Support</w:t>
      </w:r>
      <w:r w:rsidRPr="00860D5C">
        <w:rPr>
          <w:sz w:val="22"/>
          <w:szCs w:val="22"/>
        </w:rPr>
        <w:t xml:space="preserve"> same-carrier and cross-carrier</w:t>
      </w:r>
      <w:r w:rsidR="00533662" w:rsidRPr="00860D5C">
        <w:rPr>
          <w:sz w:val="22"/>
          <w:szCs w:val="22"/>
        </w:rPr>
        <w:t xml:space="preserve"> SRS </w:t>
      </w:r>
      <w:r w:rsidRPr="00860D5C">
        <w:rPr>
          <w:sz w:val="22"/>
          <w:szCs w:val="22"/>
        </w:rPr>
        <w:t>triggers.</w:t>
      </w:r>
    </w:p>
    <w:p w14:paraId="57828A22" w14:textId="77777777" w:rsidR="0096544B" w:rsidRPr="0096544B" w:rsidRDefault="0096544B" w:rsidP="0096544B">
      <w:pPr>
        <w:pStyle w:val="ListParagraph"/>
        <w:rPr>
          <w:rFonts w:ascii="Arial" w:hAnsi="Arial" w:cs="Arial"/>
          <w:lang w:val="en-GB"/>
        </w:rPr>
      </w:pPr>
    </w:p>
    <w:p w14:paraId="405B18D3" w14:textId="2BC83981" w:rsidR="0096544B" w:rsidRDefault="009654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Additional details</w:t>
      </w:r>
    </w:p>
    <w:p w14:paraId="00264732" w14:textId="0136ED0B" w:rsidR="007B69E9" w:rsidRDefault="007B69E9" w:rsidP="007B69E9">
      <w:pPr>
        <w:pStyle w:val="LGTdoc1"/>
        <w:spacing w:beforeLines="0" w:before="120" w:after="220" w:afterAutospacing="0"/>
        <w:rPr>
          <w:rFonts w:ascii="Arial" w:hAnsi="Arial" w:cs="Arial"/>
          <w:lang w:val="en-US"/>
        </w:rPr>
      </w:pPr>
      <w:r>
        <w:rPr>
          <w:b w:val="0"/>
          <w:sz w:val="22"/>
          <w:szCs w:val="22"/>
        </w:rPr>
        <w:t xml:space="preserve">In general, the transmission of SRS in a given CC imposes a constraint on transmissions in other CC. For example, if a UE capability supports only one UL CC, the transmission of SRS in a carrier blocks any other </w:t>
      </w:r>
      <w:r w:rsidR="0062785F">
        <w:rPr>
          <w:b w:val="0"/>
          <w:sz w:val="22"/>
          <w:szCs w:val="22"/>
        </w:rPr>
        <w:t xml:space="preserve">uplink </w:t>
      </w:r>
      <w:r>
        <w:rPr>
          <w:b w:val="0"/>
          <w:sz w:val="22"/>
          <w:szCs w:val="22"/>
        </w:rPr>
        <w:t>transmission at the same time. Thus, prioritization and dropping rules for SRS and other channels should be defined.</w:t>
      </w:r>
    </w:p>
    <w:bookmarkEnd w:id="0"/>
    <w:bookmarkEnd w:id="1"/>
    <w:p w14:paraId="5EAE4C5F" w14:textId="62CCCE0F" w:rsidR="0096544B" w:rsidRPr="00860D5C" w:rsidRDefault="0096544B" w:rsidP="0096544B">
      <w:pPr>
        <w:pStyle w:val="LGTdoc1"/>
        <w:spacing w:beforeLines="0" w:before="120" w:after="220" w:afterAutospacing="0"/>
        <w:rPr>
          <w:sz w:val="22"/>
          <w:szCs w:val="22"/>
        </w:rPr>
      </w:pPr>
      <w:r w:rsidRPr="00860D5C">
        <w:rPr>
          <w:sz w:val="22"/>
          <w:szCs w:val="22"/>
          <w:u w:val="single"/>
        </w:rPr>
        <w:t xml:space="preserve">Proposal </w:t>
      </w:r>
      <w:r w:rsidR="007B69E9" w:rsidRPr="00860D5C">
        <w:rPr>
          <w:sz w:val="22"/>
          <w:szCs w:val="22"/>
          <w:u w:val="single"/>
        </w:rPr>
        <w:t>6</w:t>
      </w:r>
      <w:r w:rsidRPr="00860D5C">
        <w:rPr>
          <w:sz w:val="22"/>
          <w:szCs w:val="22"/>
          <w:u w:val="single"/>
        </w:rPr>
        <w:t>:</w:t>
      </w:r>
      <w:r w:rsidRPr="00860D5C">
        <w:rPr>
          <w:sz w:val="22"/>
          <w:szCs w:val="22"/>
        </w:rPr>
        <w:t xml:space="preserve"> Define prioritization rules among different CC and channels in case of collision.</w:t>
      </w:r>
    </w:p>
    <w:p w14:paraId="252E8B1A" w14:textId="33306A9B" w:rsidR="007B69E9" w:rsidRDefault="007B69E9" w:rsidP="0096544B">
      <w:pPr>
        <w:pStyle w:val="LGTdoc1"/>
        <w:spacing w:beforeLines="0" w:before="120" w:after="220" w:afterAutospacing="0"/>
        <w:rPr>
          <w:b w:val="0"/>
          <w:sz w:val="22"/>
          <w:szCs w:val="22"/>
        </w:rPr>
      </w:pPr>
      <w:r>
        <w:rPr>
          <w:b w:val="0"/>
          <w:sz w:val="22"/>
          <w:szCs w:val="22"/>
        </w:rPr>
        <w:t xml:space="preserve">In some cases, a UE transmitting SRS in a CC might </w:t>
      </w:r>
      <w:r w:rsidR="00241E9E">
        <w:rPr>
          <w:b w:val="0"/>
          <w:sz w:val="22"/>
          <w:szCs w:val="22"/>
        </w:rPr>
        <w:t xml:space="preserve">experience </w:t>
      </w:r>
      <w:r>
        <w:rPr>
          <w:b w:val="0"/>
          <w:sz w:val="22"/>
          <w:szCs w:val="22"/>
        </w:rPr>
        <w:t>a very low SNR condition</w:t>
      </w:r>
      <w:r w:rsidR="00241E9E">
        <w:rPr>
          <w:b w:val="0"/>
          <w:sz w:val="22"/>
          <w:szCs w:val="22"/>
        </w:rPr>
        <w:t xml:space="preserve"> resulting in RLF</w:t>
      </w:r>
      <w:r>
        <w:rPr>
          <w:b w:val="0"/>
          <w:sz w:val="22"/>
          <w:szCs w:val="22"/>
        </w:rPr>
        <w:t xml:space="preserve">. In such a case, the UE should </w:t>
      </w:r>
      <w:r w:rsidR="0062785F">
        <w:rPr>
          <w:b w:val="0"/>
          <w:sz w:val="22"/>
          <w:szCs w:val="22"/>
        </w:rPr>
        <w:t>s</w:t>
      </w:r>
      <w:r>
        <w:rPr>
          <w:b w:val="0"/>
          <w:sz w:val="22"/>
          <w:szCs w:val="22"/>
        </w:rPr>
        <w:t xml:space="preserve">top transmitting SRS (if configured with periodic transmissions, for example), since there is no guarantee that the </w:t>
      </w:r>
      <w:proofErr w:type="spellStart"/>
      <w:r>
        <w:rPr>
          <w:b w:val="0"/>
          <w:sz w:val="22"/>
          <w:szCs w:val="22"/>
        </w:rPr>
        <w:t>eNB</w:t>
      </w:r>
      <w:proofErr w:type="spellEnd"/>
      <w:r>
        <w:rPr>
          <w:b w:val="0"/>
          <w:sz w:val="22"/>
          <w:szCs w:val="22"/>
        </w:rPr>
        <w:t xml:space="preserve"> would receive the sounding signal correctly. We propose to support RLF in non-paired CC with SRS transmission configured.  In case RLF is detected for the CC in which SRS is configured, the UE should stop transmitting SRS. RAN2 should decide if RLF in this CC should trigger a report</w:t>
      </w:r>
      <w:r w:rsidR="00241E9E">
        <w:rPr>
          <w:b w:val="0"/>
          <w:sz w:val="22"/>
          <w:szCs w:val="22"/>
        </w:rPr>
        <w:t xml:space="preserve"> from the UE to the </w:t>
      </w:r>
      <w:proofErr w:type="spellStart"/>
      <w:r w:rsidR="00241E9E">
        <w:rPr>
          <w:b w:val="0"/>
          <w:sz w:val="22"/>
          <w:szCs w:val="22"/>
        </w:rPr>
        <w:t>eNB</w:t>
      </w:r>
      <w:proofErr w:type="spellEnd"/>
      <w:r>
        <w:rPr>
          <w:b w:val="0"/>
          <w:sz w:val="22"/>
          <w:szCs w:val="22"/>
        </w:rPr>
        <w:t>.</w:t>
      </w:r>
    </w:p>
    <w:p w14:paraId="15DF4FFE" w14:textId="63768B35" w:rsidR="0096544B" w:rsidRPr="00860D5C" w:rsidRDefault="0096544B" w:rsidP="0096544B">
      <w:pPr>
        <w:pStyle w:val="LGTdoc1"/>
        <w:spacing w:beforeLines="0" w:before="120" w:after="220" w:afterAutospacing="0"/>
        <w:rPr>
          <w:sz w:val="22"/>
          <w:szCs w:val="22"/>
        </w:rPr>
      </w:pPr>
      <w:r w:rsidRPr="00860D5C">
        <w:rPr>
          <w:sz w:val="22"/>
          <w:szCs w:val="22"/>
          <w:u w:val="single"/>
        </w:rPr>
        <w:t xml:space="preserve">Proposal </w:t>
      </w:r>
      <w:r w:rsidR="007B69E9" w:rsidRPr="00860D5C">
        <w:rPr>
          <w:sz w:val="22"/>
          <w:szCs w:val="22"/>
          <w:u w:val="single"/>
        </w:rPr>
        <w:t>7</w:t>
      </w:r>
      <w:r w:rsidRPr="00860D5C">
        <w:rPr>
          <w:sz w:val="22"/>
          <w:szCs w:val="22"/>
          <w:u w:val="single"/>
        </w:rPr>
        <w:t>:</w:t>
      </w:r>
      <w:r w:rsidRPr="00860D5C">
        <w:rPr>
          <w:sz w:val="22"/>
          <w:szCs w:val="22"/>
        </w:rPr>
        <w:t xml:space="preserve"> In case of RLF in a </w:t>
      </w:r>
      <w:r w:rsidR="00241E9E" w:rsidRPr="00860D5C">
        <w:rPr>
          <w:sz w:val="22"/>
          <w:szCs w:val="22"/>
        </w:rPr>
        <w:t xml:space="preserve">SRS </w:t>
      </w:r>
      <w:r w:rsidRPr="00860D5C">
        <w:rPr>
          <w:sz w:val="22"/>
          <w:szCs w:val="22"/>
        </w:rPr>
        <w:t>CC</w:t>
      </w:r>
      <w:r w:rsidR="0062785F">
        <w:rPr>
          <w:sz w:val="22"/>
          <w:szCs w:val="22"/>
        </w:rPr>
        <w:t>,</w:t>
      </w:r>
      <w:r w:rsidRPr="00860D5C">
        <w:rPr>
          <w:sz w:val="22"/>
          <w:szCs w:val="22"/>
        </w:rPr>
        <w:t xml:space="preserve"> the UE should stop SRS transmission</w:t>
      </w:r>
      <w:r w:rsidR="007B69E9" w:rsidRPr="00860D5C">
        <w:rPr>
          <w:sz w:val="22"/>
          <w:szCs w:val="22"/>
        </w:rPr>
        <w:t xml:space="preserve"> in that CC</w:t>
      </w:r>
      <w:r w:rsidRPr="00860D5C">
        <w:rPr>
          <w:sz w:val="22"/>
          <w:szCs w:val="22"/>
        </w:rPr>
        <w:t>.</w:t>
      </w:r>
    </w:p>
    <w:p w14:paraId="3F867E17" w14:textId="77777777" w:rsidR="0096544B" w:rsidRDefault="0096544B" w:rsidP="0096544B">
      <w:pPr>
        <w:pStyle w:val="LGTdoc1"/>
        <w:spacing w:beforeLines="0" w:before="120" w:after="220" w:afterAutospacing="0"/>
        <w:rPr>
          <w:b w:val="0"/>
          <w:sz w:val="22"/>
          <w:szCs w:val="22"/>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73DB530D" w14:textId="72B41674" w:rsidR="00241E9E" w:rsidRPr="0062785F" w:rsidRDefault="00241E9E" w:rsidP="00860D5C">
      <w:pPr>
        <w:rPr>
          <w:rFonts w:ascii="Times New Roman"/>
          <w:snapToGrid w:val="0"/>
          <w:kern w:val="0"/>
          <w:sz w:val="22"/>
          <w:szCs w:val="22"/>
          <w:lang w:val="en-GB"/>
        </w:rPr>
      </w:pPr>
      <w:r w:rsidRPr="0062785F">
        <w:rPr>
          <w:rFonts w:ascii="Times New Roman"/>
          <w:snapToGrid w:val="0"/>
          <w:kern w:val="0"/>
          <w:sz w:val="22"/>
          <w:szCs w:val="22"/>
          <w:lang w:val="en-GB"/>
        </w:rPr>
        <w:t xml:space="preserve">In this contribution, we presented our views on several aspects on the </w:t>
      </w:r>
      <w:r>
        <w:rPr>
          <w:rFonts w:ascii="Times New Roman"/>
          <w:snapToGrid w:val="0"/>
          <w:kern w:val="0"/>
          <w:sz w:val="22"/>
          <w:szCs w:val="22"/>
          <w:lang w:val="en-GB"/>
        </w:rPr>
        <w:t>specification impact of SRS switching. The following are proposed:</w:t>
      </w:r>
    </w:p>
    <w:p w14:paraId="03AF6472" w14:textId="77777777" w:rsidR="007B69E9" w:rsidRPr="00860D5C" w:rsidRDefault="007B69E9" w:rsidP="007B69E9">
      <w:pPr>
        <w:pStyle w:val="LGTdoc1"/>
        <w:spacing w:beforeLines="0" w:before="120" w:after="220" w:afterAutospacing="0"/>
        <w:rPr>
          <w:sz w:val="22"/>
          <w:szCs w:val="22"/>
        </w:rPr>
      </w:pPr>
      <w:r w:rsidRPr="00860D5C">
        <w:rPr>
          <w:sz w:val="22"/>
          <w:szCs w:val="22"/>
          <w:u w:val="single"/>
        </w:rPr>
        <w:t>Proposal 1:</w:t>
      </w:r>
      <w:r w:rsidRPr="00860D5C">
        <w:rPr>
          <w:sz w:val="22"/>
          <w:szCs w:val="22"/>
        </w:rPr>
        <w:t xml:space="preserve"> Follow similar principles as CA operation: support power control, TAG configuration, TA, activation/deactivation.</w:t>
      </w:r>
    </w:p>
    <w:p w14:paraId="5ED56184" w14:textId="0E522A8C" w:rsidR="007B69E9" w:rsidRPr="00860D5C" w:rsidRDefault="007B69E9" w:rsidP="007B69E9">
      <w:pPr>
        <w:pStyle w:val="LGTdoc1"/>
        <w:spacing w:beforeLines="0" w:before="120" w:after="220" w:afterAutospacing="0"/>
        <w:rPr>
          <w:sz w:val="22"/>
          <w:szCs w:val="22"/>
        </w:rPr>
      </w:pPr>
      <w:r w:rsidRPr="00860D5C">
        <w:rPr>
          <w:sz w:val="22"/>
          <w:szCs w:val="22"/>
          <w:u w:val="single"/>
        </w:rPr>
        <w:t>Proposal 2:</w:t>
      </w:r>
      <w:r w:rsidRPr="00860D5C">
        <w:rPr>
          <w:sz w:val="22"/>
          <w:szCs w:val="22"/>
        </w:rPr>
        <w:t xml:space="preserve"> </w:t>
      </w:r>
      <w:r w:rsidR="00241E9E">
        <w:rPr>
          <w:sz w:val="22"/>
          <w:szCs w:val="22"/>
        </w:rPr>
        <w:t xml:space="preserve">Support </w:t>
      </w:r>
      <w:r w:rsidRPr="00860D5C">
        <w:rPr>
          <w:sz w:val="22"/>
          <w:szCs w:val="22"/>
        </w:rPr>
        <w:t xml:space="preserve">non-contention based PRACH </w:t>
      </w:r>
      <w:r w:rsidR="00241E9E">
        <w:rPr>
          <w:sz w:val="22"/>
          <w:szCs w:val="22"/>
        </w:rPr>
        <w:t>for a</w:t>
      </w:r>
      <w:r w:rsidR="0062785F">
        <w:rPr>
          <w:sz w:val="22"/>
          <w:szCs w:val="22"/>
        </w:rPr>
        <w:t>n</w:t>
      </w:r>
      <w:r w:rsidR="00241E9E">
        <w:rPr>
          <w:sz w:val="22"/>
          <w:szCs w:val="22"/>
        </w:rPr>
        <w:t xml:space="preserve"> SRS CC</w:t>
      </w:r>
      <w:r w:rsidRPr="00860D5C">
        <w:rPr>
          <w:sz w:val="22"/>
          <w:szCs w:val="22"/>
        </w:rPr>
        <w:t>.</w:t>
      </w:r>
    </w:p>
    <w:p w14:paraId="5D614107" w14:textId="44D22A9D" w:rsidR="007B69E9" w:rsidRPr="00860D5C" w:rsidRDefault="007B69E9" w:rsidP="007B69E9">
      <w:pPr>
        <w:pStyle w:val="LGTdoc1"/>
        <w:spacing w:beforeLines="0" w:before="120" w:after="220" w:afterAutospacing="0"/>
        <w:rPr>
          <w:sz w:val="22"/>
          <w:szCs w:val="22"/>
        </w:rPr>
      </w:pPr>
      <w:r w:rsidRPr="00860D5C">
        <w:rPr>
          <w:sz w:val="22"/>
          <w:szCs w:val="22"/>
          <w:u w:val="single"/>
        </w:rPr>
        <w:t>Proposal 3:</w:t>
      </w:r>
      <w:r w:rsidRPr="00860D5C">
        <w:rPr>
          <w:sz w:val="22"/>
          <w:szCs w:val="22"/>
        </w:rPr>
        <w:t xml:space="preserve"> Support both periodic and aperiodic SRS.</w:t>
      </w:r>
    </w:p>
    <w:p w14:paraId="7708A2D9" w14:textId="77777777" w:rsidR="007B69E9" w:rsidRPr="00860D5C" w:rsidRDefault="007B69E9" w:rsidP="007B69E9">
      <w:pPr>
        <w:pStyle w:val="LGTdoc1"/>
        <w:spacing w:beforeLines="0" w:before="120" w:after="220" w:afterAutospacing="0"/>
        <w:rPr>
          <w:sz w:val="22"/>
          <w:szCs w:val="22"/>
        </w:rPr>
      </w:pPr>
      <w:r w:rsidRPr="00860D5C">
        <w:rPr>
          <w:sz w:val="22"/>
          <w:szCs w:val="22"/>
          <w:u w:val="single"/>
        </w:rPr>
        <w:t>Proposal 4:</w:t>
      </w:r>
      <w:r w:rsidRPr="00860D5C">
        <w:rPr>
          <w:sz w:val="22"/>
          <w:szCs w:val="22"/>
        </w:rPr>
        <w:t xml:space="preserve"> Aperiodic SRS is triggered by a downlink grant for all downlink transmission modes.</w:t>
      </w:r>
    </w:p>
    <w:p w14:paraId="215C61F5" w14:textId="77777777" w:rsidR="007B69E9" w:rsidRPr="00860D5C" w:rsidRDefault="007B69E9" w:rsidP="007B69E9">
      <w:pPr>
        <w:pStyle w:val="LGTdoc1"/>
        <w:spacing w:beforeLines="0" w:before="120" w:after="220" w:afterAutospacing="0"/>
        <w:rPr>
          <w:sz w:val="22"/>
          <w:szCs w:val="22"/>
        </w:rPr>
      </w:pPr>
      <w:r w:rsidRPr="00860D5C">
        <w:rPr>
          <w:sz w:val="22"/>
          <w:szCs w:val="22"/>
          <w:u w:val="single"/>
        </w:rPr>
        <w:t>Proposal 5:</w:t>
      </w:r>
      <w:r w:rsidRPr="00860D5C">
        <w:rPr>
          <w:sz w:val="22"/>
          <w:szCs w:val="22"/>
        </w:rPr>
        <w:t xml:space="preserve"> Support same-carrier and cross-carrier SRS triggers.</w:t>
      </w:r>
    </w:p>
    <w:p w14:paraId="3FDEC6AF" w14:textId="77777777" w:rsidR="007B69E9" w:rsidRPr="00860D5C" w:rsidRDefault="007B69E9" w:rsidP="007B69E9">
      <w:pPr>
        <w:pStyle w:val="LGTdoc1"/>
        <w:spacing w:beforeLines="0" w:before="120" w:after="220" w:afterAutospacing="0"/>
        <w:rPr>
          <w:sz w:val="22"/>
          <w:szCs w:val="22"/>
        </w:rPr>
      </w:pPr>
      <w:r w:rsidRPr="00860D5C">
        <w:rPr>
          <w:sz w:val="22"/>
          <w:szCs w:val="22"/>
          <w:u w:val="single"/>
        </w:rPr>
        <w:t>Proposal 6:</w:t>
      </w:r>
      <w:r w:rsidRPr="00860D5C">
        <w:rPr>
          <w:sz w:val="22"/>
          <w:szCs w:val="22"/>
        </w:rPr>
        <w:t xml:space="preserve"> Define prioritization rules among different CC and channels in case of collision.</w:t>
      </w:r>
    </w:p>
    <w:p w14:paraId="1A74F0FF" w14:textId="55C75FDC" w:rsidR="007B69E9" w:rsidRPr="00860D5C" w:rsidRDefault="007B69E9" w:rsidP="007B69E9">
      <w:pPr>
        <w:pStyle w:val="LGTdoc1"/>
        <w:spacing w:beforeLines="0" w:before="120" w:after="220" w:afterAutospacing="0"/>
        <w:rPr>
          <w:sz w:val="22"/>
          <w:szCs w:val="22"/>
        </w:rPr>
      </w:pPr>
      <w:r w:rsidRPr="00860D5C">
        <w:rPr>
          <w:sz w:val="22"/>
          <w:szCs w:val="22"/>
          <w:u w:val="single"/>
        </w:rPr>
        <w:t>Proposal 7:</w:t>
      </w:r>
      <w:r w:rsidRPr="00860D5C">
        <w:rPr>
          <w:sz w:val="22"/>
          <w:szCs w:val="22"/>
        </w:rPr>
        <w:t xml:space="preserve"> In case of RLF in a </w:t>
      </w:r>
      <w:r w:rsidR="00241E9E">
        <w:rPr>
          <w:sz w:val="22"/>
          <w:szCs w:val="22"/>
        </w:rPr>
        <w:t>SRS</w:t>
      </w:r>
      <w:r w:rsidR="00241E9E" w:rsidRPr="00860D5C">
        <w:rPr>
          <w:sz w:val="22"/>
          <w:szCs w:val="22"/>
        </w:rPr>
        <w:t xml:space="preserve"> </w:t>
      </w:r>
      <w:r w:rsidRPr="00860D5C">
        <w:rPr>
          <w:sz w:val="22"/>
          <w:szCs w:val="22"/>
        </w:rPr>
        <w:t>CC</w:t>
      </w:r>
      <w:r w:rsidR="0062785F">
        <w:rPr>
          <w:sz w:val="22"/>
          <w:szCs w:val="22"/>
        </w:rPr>
        <w:t>,</w:t>
      </w:r>
      <w:r w:rsidRPr="00860D5C">
        <w:rPr>
          <w:sz w:val="22"/>
          <w:szCs w:val="22"/>
        </w:rPr>
        <w:t xml:space="preserve"> the UE should stop SRS transmission in that CC.</w:t>
      </w:r>
    </w:p>
    <w:p w14:paraId="152ADFE2" w14:textId="77777777" w:rsidR="00C412BA" w:rsidRPr="002A4184" w:rsidRDefault="00C412BA" w:rsidP="00C412BA">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3FFE888E" w14:textId="18EC4F61" w:rsidR="001446FB"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w:t>
      </w:r>
      <w:proofErr w:type="spellStart"/>
      <w:r w:rsidR="00C412BA">
        <w:rPr>
          <w:b w:val="0"/>
          <w:sz w:val="22"/>
          <w:szCs w:val="22"/>
        </w:rPr>
        <w:t>HiSilicon</w:t>
      </w:r>
      <w:proofErr w:type="spellEnd"/>
      <w:proofErr w:type="gramStart"/>
      <w:r w:rsidR="00C412BA">
        <w:rPr>
          <w:b w:val="0"/>
          <w:sz w:val="22"/>
          <w:szCs w:val="22"/>
        </w:rPr>
        <w:t>;</w:t>
      </w:r>
      <w:r w:rsidR="003775E1">
        <w:rPr>
          <w:b w:val="0"/>
          <w:sz w:val="22"/>
          <w:szCs w:val="22"/>
        </w:rPr>
        <w:t xml:space="preserve">  </w:t>
      </w:r>
      <w:r w:rsidR="003775E1" w:rsidRPr="003775E1">
        <w:rPr>
          <w:b w:val="0"/>
          <w:sz w:val="22"/>
          <w:szCs w:val="22"/>
        </w:rPr>
        <w:t>3GPP</w:t>
      </w:r>
      <w:proofErr w:type="gramEnd"/>
      <w:r w:rsidR="003775E1" w:rsidRPr="003775E1">
        <w:rPr>
          <w:b w:val="0"/>
          <w:sz w:val="22"/>
          <w:szCs w:val="22"/>
        </w:rPr>
        <w:t xml:space="preserve"> RAN #71</w:t>
      </w:r>
      <w:r w:rsidR="003775E1">
        <w:rPr>
          <w:b w:val="0"/>
          <w:sz w:val="22"/>
          <w:szCs w:val="22"/>
        </w:rPr>
        <w:t xml:space="preserve">, </w:t>
      </w:r>
      <w:r w:rsidR="003775E1" w:rsidRPr="003775E1">
        <w:rPr>
          <w:b w:val="0"/>
          <w:sz w:val="22"/>
          <w:szCs w:val="22"/>
        </w:rPr>
        <w:t>Goteborg, Sweden, March 2016</w:t>
      </w:r>
    </w:p>
    <w:p w14:paraId="095C66B5" w14:textId="1C4EB67F" w:rsidR="00111B9A" w:rsidRPr="00DA6B43" w:rsidRDefault="00533662" w:rsidP="00E77804">
      <w:pPr>
        <w:pStyle w:val="LGTdoc1"/>
        <w:spacing w:beforeLines="0" w:before="120" w:after="220" w:afterAutospacing="0"/>
        <w:rPr>
          <w:rFonts w:ascii="Arial" w:hAnsi="Arial" w:cs="Arial"/>
        </w:rPr>
      </w:pPr>
      <w:r w:rsidRPr="0062785F">
        <w:rPr>
          <w:b w:val="0"/>
          <w:sz w:val="22"/>
          <w:szCs w:val="22"/>
        </w:rPr>
        <w:t xml:space="preserve">[2] </w:t>
      </w:r>
      <w:r w:rsidR="0062785F">
        <w:rPr>
          <w:b w:val="0"/>
          <w:sz w:val="22"/>
          <w:szCs w:val="22"/>
        </w:rPr>
        <w:t>R1-163053, “General operation of SRS switching”, Qualcomm Incorporated; 3GPP RAN1#8</w:t>
      </w:r>
      <w:r w:rsidR="005A7029">
        <w:rPr>
          <w:b w:val="0"/>
          <w:sz w:val="22"/>
          <w:szCs w:val="22"/>
        </w:rPr>
        <w:t>4</w:t>
      </w:r>
      <w:r w:rsidR="0062785F">
        <w:rPr>
          <w:b w:val="0"/>
          <w:sz w:val="22"/>
          <w:szCs w:val="22"/>
        </w:rPr>
        <w:t>b, Busan, Korea, April 2016</w:t>
      </w:r>
    </w:p>
    <w:sectPr w:rsidR="00111B9A" w:rsidRPr="00DA6B43"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99732" w14:textId="77777777" w:rsidR="00E93AD2" w:rsidRDefault="00E93AD2">
      <w:r>
        <w:separator/>
      </w:r>
    </w:p>
  </w:endnote>
  <w:endnote w:type="continuationSeparator" w:id="0">
    <w:p w14:paraId="372EE9B7" w14:textId="77777777" w:rsidR="00E93AD2" w:rsidRDefault="00E93AD2">
      <w:r>
        <w:continuationSeparator/>
      </w:r>
    </w:p>
  </w:endnote>
  <w:endnote w:type="continuationNotice" w:id="1">
    <w:p w14:paraId="3CBC9FB5" w14:textId="77777777" w:rsidR="00E93AD2" w:rsidRDefault="00E93A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2250">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368B3" w14:textId="77777777" w:rsidR="00E93AD2" w:rsidRDefault="00E93AD2">
      <w:r>
        <w:separator/>
      </w:r>
    </w:p>
  </w:footnote>
  <w:footnote w:type="continuationSeparator" w:id="0">
    <w:p w14:paraId="46EF83E4" w14:textId="77777777" w:rsidR="00E93AD2" w:rsidRDefault="00E93AD2">
      <w:r>
        <w:continuationSeparator/>
      </w:r>
    </w:p>
  </w:footnote>
  <w:footnote w:type="continuationNotice" w:id="1">
    <w:p w14:paraId="383BC4EF" w14:textId="77777777" w:rsidR="00E93AD2" w:rsidRDefault="00E93AD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29"/>
  </w:num>
  <w:num w:numId="4">
    <w:abstractNumId w:val="44"/>
  </w:num>
  <w:num w:numId="5">
    <w:abstractNumId w:val="45"/>
  </w:num>
  <w:num w:numId="6">
    <w:abstractNumId w:val="34"/>
  </w:num>
  <w:num w:numId="7">
    <w:abstractNumId w:val="9"/>
  </w:num>
  <w:num w:numId="8">
    <w:abstractNumId w:val="2"/>
  </w:num>
  <w:num w:numId="9">
    <w:abstractNumId w:val="36"/>
  </w:num>
  <w:num w:numId="10">
    <w:abstractNumId w:val="22"/>
  </w:num>
  <w:num w:numId="11">
    <w:abstractNumId w:val="27"/>
  </w:num>
  <w:num w:numId="12">
    <w:abstractNumId w:val="8"/>
  </w:num>
  <w:num w:numId="13">
    <w:abstractNumId w:val="39"/>
  </w:num>
  <w:num w:numId="14">
    <w:abstractNumId w:val="28"/>
  </w:num>
  <w:num w:numId="15">
    <w:abstractNumId w:val="20"/>
  </w:num>
  <w:num w:numId="16">
    <w:abstractNumId w:val="37"/>
  </w:num>
  <w:num w:numId="17">
    <w:abstractNumId w:val="32"/>
  </w:num>
  <w:num w:numId="18">
    <w:abstractNumId w:val="26"/>
  </w:num>
  <w:num w:numId="19">
    <w:abstractNumId w:val="13"/>
  </w:num>
  <w:num w:numId="20">
    <w:abstractNumId w:val="15"/>
  </w:num>
  <w:num w:numId="21">
    <w:abstractNumId w:val="33"/>
  </w:num>
  <w:num w:numId="22">
    <w:abstractNumId w:val="3"/>
  </w:num>
  <w:num w:numId="23">
    <w:abstractNumId w:val="24"/>
  </w:num>
  <w:num w:numId="24">
    <w:abstractNumId w:val="30"/>
  </w:num>
  <w:num w:numId="25">
    <w:abstractNumId w:val="35"/>
  </w:num>
  <w:num w:numId="26">
    <w:abstractNumId w:val="7"/>
  </w:num>
  <w:num w:numId="27">
    <w:abstractNumId w:val="1"/>
  </w:num>
  <w:num w:numId="28">
    <w:abstractNumId w:val="38"/>
  </w:num>
  <w:num w:numId="29">
    <w:abstractNumId w:val="6"/>
  </w:num>
  <w:num w:numId="30">
    <w:abstractNumId w:val="40"/>
  </w:num>
  <w:num w:numId="31">
    <w:abstractNumId w:val="5"/>
  </w:num>
  <w:num w:numId="32">
    <w:abstractNumId w:val="23"/>
  </w:num>
  <w:num w:numId="33">
    <w:abstractNumId w:val="19"/>
  </w:num>
  <w:num w:numId="34">
    <w:abstractNumId w:val="42"/>
  </w:num>
  <w:num w:numId="35">
    <w:abstractNumId w:val="31"/>
  </w:num>
  <w:num w:numId="36">
    <w:abstractNumId w:val="17"/>
  </w:num>
  <w:num w:numId="37">
    <w:abstractNumId w:val="43"/>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1"/>
  </w:num>
  <w:num w:numId="45">
    <w:abstractNumId w:val="14"/>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12"/>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E9E"/>
    <w:rsid w:val="00241F26"/>
    <w:rsid w:val="002420CB"/>
    <w:rsid w:val="0024215B"/>
    <w:rsid w:val="00242291"/>
    <w:rsid w:val="002424D6"/>
    <w:rsid w:val="00242BA9"/>
    <w:rsid w:val="00242C4E"/>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AE1"/>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1DEB"/>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662"/>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029"/>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85F"/>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9E9"/>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D5C"/>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922"/>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4B"/>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F6"/>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250"/>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8E8"/>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67A"/>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11E"/>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3AD2"/>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01BA59DB-7AB1-4AF9-A93F-2B0EA7486A40}">
  <ds:schemaRefs>
    <ds:schemaRef ds:uri="http://schemas.openxmlformats.org/officeDocument/2006/bibliography"/>
  </ds:schemaRefs>
</ds:datastoreItem>
</file>

<file path=customXml/itemProps7.xml><?xml version="1.0" encoding="utf-8"?>
<ds:datastoreItem xmlns:ds="http://schemas.openxmlformats.org/officeDocument/2006/customXml" ds:itemID="{DE5FCBEF-B18B-4D40-9FB4-AA1ECC74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Rico-Alvarino, Alberto</cp:lastModifiedBy>
  <cp:revision>7</cp:revision>
  <cp:lastPrinted>2010-08-13T21:54:00Z</cp:lastPrinted>
  <dcterms:created xsi:type="dcterms:W3CDTF">2016-03-31T23:20:00Z</dcterms:created>
  <dcterms:modified xsi:type="dcterms:W3CDTF">2016-04-02T02:00:00Z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-566388458</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-1853224645</vt:i4>
  </property>
</Properties>
</file>